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8F" w:rsidRPr="00F2178F" w:rsidRDefault="00F2178F" w:rsidP="00F21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</w:pP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În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conformitate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cu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Regulamentul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cu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privire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la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ocuparea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funcţiei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publice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vacante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prin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concurs,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aprobat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prin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Hotărîrea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Guvernului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nr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. 201 din 11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martie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2009,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Curtea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de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Apel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Bălţi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anunţă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concurs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pentru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ocuparea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următoarelor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funcţii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publice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vacante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:</w:t>
      </w:r>
    </w:p>
    <w:p w:rsidR="00F2178F" w:rsidRPr="00F2178F" w:rsidRDefault="00F2178F" w:rsidP="00F21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</w:pPr>
      <w:r w:rsidRPr="00F2178F">
        <w:rPr>
          <w:rFonts w:ascii="Times New Roman" w:eastAsia="Times New Roman" w:hAnsi="Times New Roman" w:cs="Times New Roman"/>
          <w:b/>
          <w:bCs/>
          <w:color w:val="393F4C"/>
          <w:sz w:val="26"/>
          <w:szCs w:val="26"/>
          <w:lang w:val="en-US" w:eastAsia="ru-RU"/>
        </w:rPr>
        <w:t> </w:t>
      </w:r>
      <w:proofErr w:type="spellStart"/>
      <w:r w:rsidRPr="00F2178F">
        <w:rPr>
          <w:rFonts w:ascii="Times New Roman" w:eastAsia="Times New Roman" w:hAnsi="Times New Roman" w:cs="Times New Roman"/>
          <w:b/>
          <w:bCs/>
          <w:color w:val="393F4C"/>
          <w:sz w:val="26"/>
          <w:szCs w:val="26"/>
          <w:lang w:val="en-US" w:eastAsia="ru-RU"/>
        </w:rPr>
        <w:t>Grefa</w:t>
      </w:r>
      <w:proofErr w:type="spellEnd"/>
      <w:r w:rsidRPr="00F2178F">
        <w:rPr>
          <w:rFonts w:ascii="Times New Roman" w:eastAsia="Times New Roman" w:hAnsi="Times New Roman" w:cs="Times New Roman"/>
          <w:b/>
          <w:bCs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b/>
          <w:bCs/>
          <w:color w:val="393F4C"/>
          <w:sz w:val="26"/>
          <w:szCs w:val="26"/>
          <w:lang w:val="en-US" w:eastAsia="ru-RU"/>
        </w:rPr>
        <w:t>secretariatului</w:t>
      </w:r>
      <w:proofErr w:type="spellEnd"/>
      <w:r w:rsidRPr="00F2178F">
        <w:rPr>
          <w:rFonts w:ascii="Times New Roman" w:eastAsia="Times New Roman" w:hAnsi="Times New Roman" w:cs="Times New Roman"/>
          <w:b/>
          <w:bCs/>
          <w:color w:val="393F4C"/>
          <w:sz w:val="26"/>
          <w:szCs w:val="26"/>
          <w:lang w:val="en-US" w:eastAsia="ru-RU"/>
        </w:rPr>
        <w:t>:</w:t>
      </w:r>
    </w:p>
    <w:p w:rsidR="00F2178F" w:rsidRPr="00F2178F" w:rsidRDefault="00F2178F" w:rsidP="00F21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</w:pPr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 - </w:t>
      </w:r>
      <w:proofErr w:type="spellStart"/>
      <w:r w:rsidRPr="00F2178F">
        <w:rPr>
          <w:rFonts w:ascii="Times New Roman" w:eastAsia="Times New Roman" w:hAnsi="Times New Roman" w:cs="Times New Roman"/>
          <w:b/>
          <w:bCs/>
          <w:i/>
          <w:iCs/>
          <w:color w:val="393F4C"/>
          <w:sz w:val="26"/>
          <w:szCs w:val="26"/>
          <w:lang w:val="en-US" w:eastAsia="ru-RU"/>
        </w:rPr>
        <w:t>Grefier</w:t>
      </w:r>
      <w:proofErr w:type="spellEnd"/>
      <w:r w:rsidRPr="00F2178F">
        <w:rPr>
          <w:rFonts w:ascii="Times New Roman" w:eastAsia="Times New Roman" w:hAnsi="Times New Roman" w:cs="Times New Roman"/>
          <w:b/>
          <w:bCs/>
          <w:i/>
          <w:iCs/>
          <w:color w:val="393F4C"/>
          <w:sz w:val="26"/>
          <w:szCs w:val="26"/>
          <w:lang w:val="en-US" w:eastAsia="ru-RU"/>
        </w:rPr>
        <w:t> </w:t>
      </w:r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(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fpe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)- 2 </w:t>
      </w:r>
      <w:proofErr w:type="spellStart"/>
      <w:proofErr w:type="gram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unităţi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  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perioada</w:t>
      </w:r>
      <w:proofErr w:type="spellEnd"/>
      <w:proofErr w:type="gram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determinată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;</w:t>
      </w:r>
    </w:p>
    <w:p w:rsidR="00F2178F" w:rsidRPr="00F2178F" w:rsidRDefault="00F2178F" w:rsidP="00F21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</w:pPr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 </w:t>
      </w:r>
      <w:proofErr w:type="spellStart"/>
      <w:r w:rsidRPr="00F2178F">
        <w:rPr>
          <w:rFonts w:ascii="Times New Roman" w:eastAsia="Times New Roman" w:hAnsi="Times New Roman" w:cs="Times New Roman"/>
          <w:i/>
          <w:iCs/>
          <w:color w:val="393F4C"/>
          <w:sz w:val="26"/>
          <w:szCs w:val="26"/>
          <w:lang w:val="en-US" w:eastAsia="ru-RU"/>
        </w:rPr>
        <w:t>Scopul</w:t>
      </w:r>
      <w:proofErr w:type="spellEnd"/>
      <w:r w:rsidRPr="00F2178F">
        <w:rPr>
          <w:rFonts w:ascii="Times New Roman" w:eastAsia="Times New Roman" w:hAnsi="Times New Roman" w:cs="Times New Roman"/>
          <w:i/>
          <w:iCs/>
          <w:color w:val="393F4C"/>
          <w:sz w:val="26"/>
          <w:szCs w:val="26"/>
          <w:lang w:val="en-US" w:eastAsia="ru-RU"/>
        </w:rPr>
        <w:t xml:space="preserve"> general al </w:t>
      </w:r>
      <w:proofErr w:type="spellStart"/>
      <w:r w:rsidRPr="00F2178F">
        <w:rPr>
          <w:rFonts w:ascii="Times New Roman" w:eastAsia="Times New Roman" w:hAnsi="Times New Roman" w:cs="Times New Roman"/>
          <w:i/>
          <w:iCs/>
          <w:color w:val="393F4C"/>
          <w:sz w:val="26"/>
          <w:szCs w:val="26"/>
          <w:lang w:val="en-US" w:eastAsia="ru-RU"/>
        </w:rPr>
        <w:t>funcţiei</w:t>
      </w:r>
      <w:proofErr w:type="spellEnd"/>
      <w:r w:rsidRPr="00F2178F">
        <w:rPr>
          <w:rFonts w:ascii="Times New Roman" w:eastAsia="Times New Roman" w:hAnsi="Times New Roman" w:cs="Times New Roman"/>
          <w:i/>
          <w:iCs/>
          <w:color w:val="393F4C"/>
          <w:sz w:val="26"/>
          <w:szCs w:val="26"/>
          <w:lang w:val="en-US" w:eastAsia="ru-RU"/>
        </w:rPr>
        <w:t>:</w:t>
      </w:r>
    </w:p>
    <w:p w:rsidR="00F2178F" w:rsidRPr="00F2178F" w:rsidRDefault="00F2178F" w:rsidP="00F21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</w:pP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Contribuie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la </w:t>
      </w:r>
      <w:proofErr w:type="spellStart"/>
      <w:proofErr w:type="gram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asigurarea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  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suportulu</w:t>
      </w:r>
      <w:proofErr w:type="spellEnd"/>
      <w:proofErr w:type="gram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organizaţional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sub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conducerea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judecătorului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pentru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desfăşurarea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eficientă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a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procesului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de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judecată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la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înfăptuirea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actului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de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justiţie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.</w:t>
      </w:r>
    </w:p>
    <w:p w:rsidR="00F2178F" w:rsidRPr="00F2178F" w:rsidRDefault="00F2178F" w:rsidP="00F21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</w:pPr>
      <w:proofErr w:type="spellStart"/>
      <w:r w:rsidRPr="00F2178F">
        <w:rPr>
          <w:rFonts w:ascii="Times New Roman" w:eastAsia="Times New Roman" w:hAnsi="Times New Roman" w:cs="Times New Roman"/>
          <w:i/>
          <w:iCs/>
          <w:color w:val="393F4C"/>
          <w:sz w:val="26"/>
          <w:szCs w:val="26"/>
          <w:lang w:val="en-US" w:eastAsia="ru-RU"/>
        </w:rPr>
        <w:t>Sarcinile</w:t>
      </w:r>
      <w:proofErr w:type="spellEnd"/>
      <w:r w:rsidRPr="00F2178F">
        <w:rPr>
          <w:rFonts w:ascii="Times New Roman" w:eastAsia="Times New Roman" w:hAnsi="Times New Roman" w:cs="Times New Roman"/>
          <w:i/>
          <w:iCs/>
          <w:color w:val="393F4C"/>
          <w:sz w:val="26"/>
          <w:szCs w:val="26"/>
          <w:lang w:val="en-US" w:eastAsia="ru-RU"/>
        </w:rPr>
        <w:t xml:space="preserve"> de </w:t>
      </w:r>
      <w:proofErr w:type="spellStart"/>
      <w:r w:rsidRPr="00F2178F">
        <w:rPr>
          <w:rFonts w:ascii="Times New Roman" w:eastAsia="Times New Roman" w:hAnsi="Times New Roman" w:cs="Times New Roman"/>
          <w:i/>
          <w:iCs/>
          <w:color w:val="393F4C"/>
          <w:sz w:val="26"/>
          <w:szCs w:val="26"/>
          <w:lang w:val="en-US" w:eastAsia="ru-RU"/>
        </w:rPr>
        <w:t>bază</w:t>
      </w:r>
      <w:proofErr w:type="spellEnd"/>
      <w:r w:rsidRPr="00F2178F">
        <w:rPr>
          <w:rFonts w:ascii="Times New Roman" w:eastAsia="Times New Roman" w:hAnsi="Times New Roman" w:cs="Times New Roman"/>
          <w:i/>
          <w:iCs/>
          <w:color w:val="393F4C"/>
          <w:sz w:val="26"/>
          <w:szCs w:val="26"/>
          <w:lang w:val="en-US" w:eastAsia="ru-RU"/>
        </w:rPr>
        <w:t>:</w:t>
      </w:r>
    </w:p>
    <w:p w:rsidR="00F2178F" w:rsidRPr="00F2178F" w:rsidRDefault="00F2178F" w:rsidP="00F21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</w:pP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Acordarea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sprijinului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necesar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judecătorului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la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exercitarea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actului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de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justiţie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;</w:t>
      </w:r>
    </w:p>
    <w:p w:rsidR="00F2178F" w:rsidRPr="00F2178F" w:rsidRDefault="00F2178F" w:rsidP="00F21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</w:pP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Întocmirea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actelor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de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procedură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necesare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prevăzute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de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codurile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de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procedură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penală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civilă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şi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codul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contravenţional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pentru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pregătirea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cauzei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spre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examinare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;</w:t>
      </w:r>
    </w:p>
    <w:p w:rsidR="00F2178F" w:rsidRPr="00F2178F" w:rsidRDefault="00F2178F" w:rsidP="00F21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</w:pP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Asigurarea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suportului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tehnic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în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utilizarea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  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Programului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Integrat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de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Gestionare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a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dosarelor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şi a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sistemelor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de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înregistrare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audio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în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cadrul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examinării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cauzelor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;</w:t>
      </w:r>
    </w:p>
    <w:p w:rsidR="00F2178F" w:rsidRPr="00F2178F" w:rsidRDefault="00F2178F" w:rsidP="00F21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</w:pP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Asigurarea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  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suportului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administrativ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şi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organizaţional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completului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de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judecată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în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scopul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realizării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efective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a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procesului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de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judecată</w:t>
      </w:r>
      <w:proofErr w:type="spellEnd"/>
    </w:p>
    <w:p w:rsidR="00F2178F" w:rsidRPr="00F2178F" w:rsidRDefault="00F2178F" w:rsidP="00F21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</w:pPr>
      <w:proofErr w:type="spellStart"/>
      <w:r w:rsidRPr="00F2178F">
        <w:rPr>
          <w:rFonts w:ascii="Times New Roman" w:eastAsia="Times New Roman" w:hAnsi="Times New Roman" w:cs="Times New Roman"/>
          <w:i/>
          <w:iCs/>
          <w:color w:val="393F4C"/>
          <w:sz w:val="26"/>
          <w:szCs w:val="26"/>
          <w:lang w:val="en-US" w:eastAsia="ru-RU"/>
        </w:rPr>
        <w:t>Studii</w:t>
      </w:r>
      <w:proofErr w:type="spellEnd"/>
      <w:r w:rsidRPr="00F2178F">
        <w:rPr>
          <w:rFonts w:ascii="Times New Roman" w:eastAsia="Times New Roman" w:hAnsi="Times New Roman" w:cs="Times New Roman"/>
          <w:i/>
          <w:iCs/>
          <w:color w:val="393F4C"/>
          <w:sz w:val="26"/>
          <w:szCs w:val="26"/>
          <w:lang w:val="en-US" w:eastAsia="ru-RU"/>
        </w:rPr>
        <w:t>:</w:t>
      </w:r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 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studii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medii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de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specialitate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absolvite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cu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diplomă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.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Licenţa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în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drept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constituie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un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avantaj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.</w:t>
      </w:r>
    </w:p>
    <w:p w:rsidR="00F2178F" w:rsidRPr="00F2178F" w:rsidRDefault="00F2178F" w:rsidP="00F21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</w:pPr>
      <w:proofErr w:type="spellStart"/>
      <w:r w:rsidRPr="00F2178F">
        <w:rPr>
          <w:rFonts w:ascii="Times New Roman" w:eastAsia="Times New Roman" w:hAnsi="Times New Roman" w:cs="Times New Roman"/>
          <w:i/>
          <w:iCs/>
          <w:color w:val="393F4C"/>
          <w:sz w:val="26"/>
          <w:szCs w:val="26"/>
          <w:lang w:val="en-US" w:eastAsia="ru-RU"/>
        </w:rPr>
        <w:t>Experienţă</w:t>
      </w:r>
      <w:proofErr w:type="spellEnd"/>
      <w:r w:rsidRPr="00F2178F">
        <w:rPr>
          <w:rFonts w:ascii="Times New Roman" w:eastAsia="Times New Roman" w:hAnsi="Times New Roman" w:cs="Times New Roman"/>
          <w:i/>
          <w:iCs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i/>
          <w:iCs/>
          <w:color w:val="393F4C"/>
          <w:sz w:val="26"/>
          <w:szCs w:val="26"/>
          <w:lang w:val="en-US" w:eastAsia="ru-RU"/>
        </w:rPr>
        <w:t>profesională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: nu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este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necesară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 </w:t>
      </w:r>
    </w:p>
    <w:p w:rsidR="00F2178F" w:rsidRPr="00F2178F" w:rsidRDefault="00F2178F" w:rsidP="00F21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</w:pPr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II.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Condiţiile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de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bază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pentru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participare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la concurs:</w:t>
      </w:r>
    </w:p>
    <w:p w:rsidR="00F2178F" w:rsidRPr="00F2178F" w:rsidRDefault="00F2178F" w:rsidP="00F21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</w:pPr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La o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funcţie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publică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vacantă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poate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candida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persoana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care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îndeplineşte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următoarele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condiţii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:</w:t>
      </w:r>
    </w:p>
    <w:p w:rsidR="00F2178F" w:rsidRPr="00F2178F" w:rsidRDefault="00F2178F" w:rsidP="00F21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</w:pPr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-         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deţine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cetăţenia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Republicii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Moldova;</w:t>
      </w:r>
    </w:p>
    <w:p w:rsidR="00F2178F" w:rsidRPr="00F2178F" w:rsidRDefault="00F2178F" w:rsidP="00F21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</w:pPr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-         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dispune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de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capacitatea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deplină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de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exerciţiu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;</w:t>
      </w:r>
    </w:p>
    <w:p w:rsidR="00F2178F" w:rsidRPr="00F2178F" w:rsidRDefault="00F2178F" w:rsidP="00F21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</w:pPr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-          nu a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împlinit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vîrsta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necesară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obţinerii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dreptului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la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pensie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pentru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limită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de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vîrstă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;</w:t>
      </w:r>
    </w:p>
    <w:p w:rsidR="00F2178F" w:rsidRPr="00F2178F" w:rsidRDefault="00F2178F" w:rsidP="00F21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</w:pPr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-         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în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ultimii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3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ani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, nu a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fost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destituită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dintr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-o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funcţie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publică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sau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nu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-a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încetat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contractul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individual de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muncă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pentru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motive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disciplinare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;</w:t>
      </w:r>
    </w:p>
    <w:p w:rsidR="00F2178F" w:rsidRPr="00F2178F" w:rsidRDefault="00F2178F" w:rsidP="00F21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</w:pPr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-          nu </w:t>
      </w:r>
      <w:proofErr w:type="gram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are</w:t>
      </w:r>
      <w:proofErr w:type="gram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antecedente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penale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nestinse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pentru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infracţiuni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săvîrşite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cu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intenţie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;</w:t>
      </w:r>
    </w:p>
    <w:p w:rsidR="00F2178F" w:rsidRPr="00F2178F" w:rsidRDefault="00F2178F" w:rsidP="00F21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</w:pPr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-          nu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este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privată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de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dreptul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de a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ocupa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anumite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funcţii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sau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de a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exercita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o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anumită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activitate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, ca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pedeapsă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de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bază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sau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complementară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, ca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urmare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a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sentinţei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judecătoreşti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definitive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prin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care s-a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dispus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această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interdicţie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;</w:t>
      </w:r>
    </w:p>
    <w:p w:rsidR="00F2178F" w:rsidRPr="00F2178F" w:rsidRDefault="00F2178F" w:rsidP="00F21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</w:pPr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-         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cunoaşte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limba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de stat;</w:t>
      </w:r>
    </w:p>
    <w:p w:rsidR="00F2178F" w:rsidRPr="00F2178F" w:rsidRDefault="00F2178F" w:rsidP="00F21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</w:pPr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-         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îndeplineşte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cerinţele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specifice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pentru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ocuparea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funcţiei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.</w:t>
      </w:r>
    </w:p>
    <w:p w:rsidR="00F2178F" w:rsidRPr="00F2178F" w:rsidRDefault="00F2178F" w:rsidP="00F21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</w:pPr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III.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Persoanele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interesate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urmează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să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depună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personal/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prin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poştă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/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prin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e-mail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Dosarul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de concurs</w:t>
      </w:r>
      <w:hyperlink r:id="rId5" w:anchor="sdfootnote1sym" w:history="1">
        <w:r w:rsidRPr="00F2178F">
          <w:rPr>
            <w:rFonts w:ascii="Times New Roman" w:eastAsia="Times New Roman" w:hAnsi="Times New Roman" w:cs="Times New Roman"/>
            <w:color w:val="0862AE"/>
            <w:sz w:val="26"/>
            <w:szCs w:val="26"/>
            <w:u w:val="single"/>
            <w:lang w:val="en-US" w:eastAsia="ru-RU"/>
          </w:rPr>
          <w:t>1</w:t>
        </w:r>
      </w:hyperlink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, care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conţine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:</w:t>
      </w:r>
    </w:p>
    <w:p w:rsidR="00F2178F" w:rsidRPr="00F2178F" w:rsidRDefault="00F2178F" w:rsidP="00F21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</w:pPr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-         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formularul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de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participare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(care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poate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fi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descărcat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 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ru-RU" w:eastAsia="ru-RU"/>
        </w:rPr>
        <w:fldChar w:fldCharType="begin"/>
      </w:r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instrText xml:space="preserve"> HYPERLINK "http://www.justice.gov.md/public/files/file/formulare/Formular_de_participare_la_concursul_pentru_ocuparea_funtiei_vacante.doc" </w:instrText>
      </w:r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ru-RU" w:eastAsia="ru-RU"/>
        </w:rPr>
        <w:fldChar w:fldCharType="separate"/>
      </w:r>
      <w:r w:rsidRPr="00F2178F">
        <w:rPr>
          <w:rFonts w:ascii="Times New Roman" w:eastAsia="Times New Roman" w:hAnsi="Times New Roman" w:cs="Times New Roman"/>
          <w:color w:val="0862AE"/>
          <w:sz w:val="26"/>
          <w:szCs w:val="26"/>
          <w:u w:val="single"/>
          <w:lang w:val="en-US" w:eastAsia="ru-RU"/>
        </w:rPr>
        <w:t>aici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ru-RU" w:eastAsia="ru-RU"/>
        </w:rPr>
        <w:fldChar w:fldCharType="end"/>
      </w:r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);</w:t>
      </w:r>
    </w:p>
    <w:p w:rsidR="00F2178F" w:rsidRPr="00F2178F" w:rsidRDefault="00F2178F" w:rsidP="00F21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</w:pPr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-         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copia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buletinului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de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identitate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;</w:t>
      </w:r>
    </w:p>
    <w:p w:rsidR="00F2178F" w:rsidRPr="00F2178F" w:rsidRDefault="00F2178F" w:rsidP="00F21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</w:pPr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lastRenderedPageBreak/>
        <w:t xml:space="preserve">-         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copia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diplomei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de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studii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şi a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suplimentului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la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diplomă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(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candidaţii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care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deţin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acte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de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studii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eliberate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de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instituţiile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de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învăţămînt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acreditate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în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ţara de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provenienţă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urmează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să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prezinte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Certificatul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de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recunoaştere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şi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echivalare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, act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eliberat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de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către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Ministerul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Educaţiei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);</w:t>
      </w:r>
    </w:p>
    <w:p w:rsidR="00F2178F" w:rsidRPr="00F2178F" w:rsidRDefault="00F2178F" w:rsidP="00F21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</w:pPr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-         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copia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certificatelor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de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absolvire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a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cursurilor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de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perfecţionare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profesională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şi/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sau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de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specializare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;</w:t>
      </w:r>
    </w:p>
    <w:p w:rsidR="00F2178F" w:rsidRPr="00F2178F" w:rsidRDefault="00F2178F" w:rsidP="00F21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</w:pPr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-         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documentul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atestă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cunoaşterea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unei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limbi de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circulaţie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internaţională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(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pentru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funcţiile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unde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se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solicită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ca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candidatul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să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posede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cunoştinţe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în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domeniul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dat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);</w:t>
      </w:r>
    </w:p>
    <w:p w:rsidR="00F2178F" w:rsidRPr="00F2178F" w:rsidRDefault="00F2178F" w:rsidP="00F21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</w:pPr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-         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copia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carnetului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de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muncă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(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dacă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îl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deține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);</w:t>
      </w:r>
    </w:p>
    <w:p w:rsidR="00F2178F" w:rsidRPr="00F2178F" w:rsidRDefault="00F2178F" w:rsidP="00F21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</w:pPr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-         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documentele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de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evidenţă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militară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–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pentru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recruţi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şi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rezervişti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;</w:t>
      </w:r>
    </w:p>
    <w:p w:rsidR="00F2178F" w:rsidRPr="00F2178F" w:rsidRDefault="00F2178F" w:rsidP="00F21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</w:pPr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-         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cazierul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judiciar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 (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cazierul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judiciar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poate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fi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înlocuit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cu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declaraţia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proprie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răspundere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, care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poate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fi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descărcată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 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ru-RU" w:eastAsia="ru-RU"/>
        </w:rPr>
        <w:fldChar w:fldCharType="begin"/>
      </w:r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instrText xml:space="preserve"> HYPERLINK "http://www.justice.gov.md/public/files/declaratie_pe_proprie_raspundere.pdf" </w:instrText>
      </w:r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ru-RU" w:eastAsia="ru-RU"/>
        </w:rPr>
        <w:fldChar w:fldCharType="separate"/>
      </w:r>
      <w:r w:rsidRPr="00F2178F">
        <w:rPr>
          <w:rFonts w:ascii="Times New Roman" w:eastAsia="Times New Roman" w:hAnsi="Times New Roman" w:cs="Times New Roman"/>
          <w:color w:val="0862AE"/>
          <w:sz w:val="26"/>
          <w:szCs w:val="26"/>
          <w:u w:val="single"/>
          <w:lang w:val="en-US" w:eastAsia="ru-RU"/>
        </w:rPr>
        <w:t>aici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ru-RU" w:eastAsia="ru-RU"/>
        </w:rPr>
        <w:fldChar w:fldCharType="end"/>
      </w:r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 );</w:t>
      </w:r>
    </w:p>
    <w:p w:rsidR="00F2178F" w:rsidRPr="00F2178F" w:rsidRDefault="00F2178F" w:rsidP="00F21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</w:pPr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-         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acordul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cu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privire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la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prelucrarea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datelor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cu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caracter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personal (care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poate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fi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descărcat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 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ru-RU" w:eastAsia="ru-RU"/>
        </w:rPr>
        <w:fldChar w:fldCharType="begin"/>
      </w:r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instrText xml:space="preserve"> HYPERLINK "http://www.justice.gov.md/public/files/acord_date_personale.doc" </w:instrText>
      </w:r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ru-RU" w:eastAsia="ru-RU"/>
        </w:rPr>
        <w:fldChar w:fldCharType="separate"/>
      </w:r>
      <w:r w:rsidRPr="00F2178F">
        <w:rPr>
          <w:rFonts w:ascii="Times New Roman" w:eastAsia="Times New Roman" w:hAnsi="Times New Roman" w:cs="Times New Roman"/>
          <w:color w:val="0862AE"/>
          <w:sz w:val="26"/>
          <w:szCs w:val="26"/>
          <w:u w:val="single"/>
          <w:lang w:val="en-US" w:eastAsia="ru-RU"/>
        </w:rPr>
        <w:t>aici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ru-RU" w:eastAsia="ru-RU"/>
        </w:rPr>
        <w:fldChar w:fldCharType="end"/>
      </w:r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).</w:t>
      </w:r>
    </w:p>
    <w:p w:rsidR="00F2178F" w:rsidRPr="00F2178F" w:rsidRDefault="00F2178F" w:rsidP="00F21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</w:pPr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 IV.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Termenul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de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depunere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a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documentelor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pentru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participare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la concurs – </w:t>
      </w:r>
      <w:r w:rsidRPr="00F2178F">
        <w:rPr>
          <w:rFonts w:ascii="Times New Roman" w:eastAsia="Times New Roman" w:hAnsi="Times New Roman" w:cs="Times New Roman"/>
          <w:b/>
          <w:color w:val="393F4C"/>
          <w:sz w:val="26"/>
          <w:szCs w:val="26"/>
          <w:lang w:val="en-US" w:eastAsia="ru-RU"/>
        </w:rPr>
        <w:t xml:space="preserve">09 </w:t>
      </w:r>
      <w:proofErr w:type="spellStart"/>
      <w:r w:rsidRPr="00F2178F">
        <w:rPr>
          <w:rFonts w:ascii="Times New Roman" w:eastAsia="Times New Roman" w:hAnsi="Times New Roman" w:cs="Times New Roman"/>
          <w:b/>
          <w:color w:val="393F4C"/>
          <w:sz w:val="26"/>
          <w:szCs w:val="26"/>
          <w:lang w:val="en-US" w:eastAsia="ru-RU"/>
        </w:rPr>
        <w:t>septembrie</w:t>
      </w:r>
      <w:proofErr w:type="spellEnd"/>
      <w:r w:rsidRPr="00F2178F">
        <w:rPr>
          <w:rFonts w:ascii="Times New Roman" w:eastAsia="Times New Roman" w:hAnsi="Times New Roman" w:cs="Times New Roman"/>
          <w:b/>
          <w:bCs/>
          <w:color w:val="393F4C"/>
          <w:sz w:val="26"/>
          <w:szCs w:val="26"/>
          <w:lang w:val="en-US" w:eastAsia="ru-RU"/>
        </w:rPr>
        <w:t xml:space="preserve"> 2019 </w:t>
      </w:r>
      <w:proofErr w:type="spellStart"/>
      <w:r w:rsidRPr="00F2178F">
        <w:rPr>
          <w:rFonts w:ascii="Times New Roman" w:eastAsia="Times New Roman" w:hAnsi="Times New Roman" w:cs="Times New Roman"/>
          <w:b/>
          <w:bCs/>
          <w:color w:val="393F4C"/>
          <w:sz w:val="26"/>
          <w:szCs w:val="26"/>
          <w:lang w:val="en-US" w:eastAsia="ru-RU"/>
        </w:rPr>
        <w:t>ora</w:t>
      </w:r>
      <w:proofErr w:type="spellEnd"/>
      <w:r w:rsidRPr="00F2178F">
        <w:rPr>
          <w:rFonts w:ascii="Times New Roman" w:eastAsia="Times New Roman" w:hAnsi="Times New Roman" w:cs="Times New Roman"/>
          <w:b/>
          <w:bCs/>
          <w:color w:val="393F4C"/>
          <w:sz w:val="26"/>
          <w:szCs w:val="26"/>
          <w:lang w:val="en-US" w:eastAsia="ru-RU"/>
        </w:rPr>
        <w:t xml:space="preserve"> 17:00.</w:t>
      </w:r>
    </w:p>
    <w:p w:rsidR="00F2178F" w:rsidRPr="00F2178F" w:rsidRDefault="00F2178F" w:rsidP="00F21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</w:pP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telefon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de contact: 023160745.</w:t>
      </w:r>
    </w:p>
    <w:p w:rsidR="00F2178F" w:rsidRPr="00F2178F" w:rsidRDefault="00F2178F" w:rsidP="00F21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</w:pPr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e-mail: </w:t>
      </w:r>
      <w:hyperlink r:id="rId6" w:history="1">
        <w:r w:rsidRPr="00F2178F">
          <w:rPr>
            <w:rFonts w:ascii="Times New Roman" w:eastAsia="Times New Roman" w:hAnsi="Times New Roman" w:cs="Times New Roman"/>
            <w:color w:val="0862AE"/>
            <w:sz w:val="26"/>
            <w:szCs w:val="26"/>
            <w:u w:val="single"/>
            <w:lang w:val="en-US" w:eastAsia="ru-RU"/>
          </w:rPr>
          <w:t>cab@justice.md</w:t>
        </w:r>
      </w:hyperlink>
    </w:p>
    <w:p w:rsidR="00F2178F" w:rsidRPr="00F2178F" w:rsidRDefault="00F2178F" w:rsidP="00F21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</w:pP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adresa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poştală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: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mun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. Bălţi, </w:t>
      </w:r>
      <w:proofErr w:type="spellStart"/>
      <w:proofErr w:type="gram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str.Ştefan</w:t>
      </w:r>
      <w:proofErr w:type="spellEnd"/>
      <w:proofErr w:type="gram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cel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Mare, nr.54,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biroul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nr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. 103;</w:t>
      </w:r>
    </w:p>
    <w:p w:rsidR="00F2178F" w:rsidRPr="00F2178F" w:rsidRDefault="00F2178F" w:rsidP="00F21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</w:pP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persoana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de contact: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Ceban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Olga, specialist principal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Serviciu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resurse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umane</w:t>
      </w:r>
      <w:proofErr w:type="spellEnd"/>
    </w:p>
    <w:p w:rsidR="00F2178F" w:rsidRPr="00F2178F" w:rsidRDefault="00F2178F" w:rsidP="00F217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</w:pPr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 </w:t>
      </w:r>
    </w:p>
    <w:p w:rsidR="00F2178F" w:rsidRPr="00F2178F" w:rsidRDefault="00F2178F" w:rsidP="00F217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</w:pPr>
      <w:hyperlink r:id="rId7" w:anchor="sdfootnote1anc" w:history="1">
        <w:r w:rsidRPr="00F2178F">
          <w:rPr>
            <w:rFonts w:ascii="Times New Roman" w:eastAsia="Times New Roman" w:hAnsi="Times New Roman" w:cs="Times New Roman"/>
            <w:color w:val="0862AE"/>
            <w:sz w:val="26"/>
            <w:szCs w:val="26"/>
            <w:u w:val="single"/>
            <w:lang w:val="en-US" w:eastAsia="ru-RU"/>
          </w:rPr>
          <w:t>1</w:t>
        </w:r>
      </w:hyperlink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 NOTĂ: 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Copiile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documentelor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nominalizate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pot fi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autentificate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de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notar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sau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prezentate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împreună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cu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documentele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originale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pentru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verificarea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veridicităţii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acestora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.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În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cazul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în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care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dosarul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de concurs se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depune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prin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poştă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sau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e-mail, 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această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prevedere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se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aplică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pînă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la data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desfăşurării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probei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scrise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a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concursului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, sub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sancţiunea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respingerii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dosarului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de concurs.</w:t>
      </w:r>
      <w:bookmarkStart w:id="0" w:name="_GoBack"/>
      <w:bookmarkEnd w:id="0"/>
    </w:p>
    <w:p w:rsidR="00F2178F" w:rsidRPr="00F2178F" w:rsidRDefault="00F2178F" w:rsidP="00F217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</w:pPr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-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Acte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normative de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specialitate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:</w:t>
      </w:r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br/>
        <w:t xml:space="preserve">-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Constituţia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Republicii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Moldova;</w:t>
      </w:r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br/>
        <w:t xml:space="preserve">-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Acte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legislative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specifice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domeniului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de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specialitate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:</w:t>
      </w:r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br/>
        <w:t xml:space="preserve">-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Codul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de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Procedură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Civilă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al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Republicii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Moldova din 30.05.2003;</w:t>
      </w:r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br/>
        <w:t xml:space="preserve">-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Codul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de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procedură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penală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al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Republicii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Moldova din 14.03.2003;</w:t>
      </w:r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br/>
        <w:t xml:space="preserve">-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Legea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nr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. 514-XIII din 06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iulie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1995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privind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organizarea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judecătorească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;</w:t>
      </w:r>
    </w:p>
    <w:p w:rsidR="00F2178F" w:rsidRPr="00F2178F" w:rsidRDefault="00F2178F" w:rsidP="00F217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</w:pP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Acte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legislative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specifice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domeniului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serviciului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public:</w:t>
      </w:r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br/>
        <w:t xml:space="preserve">-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Legea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nr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. 158-XVI din 04.07.2008 cu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privire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la funcţia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publică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şi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statutul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funcţionarului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public;</w:t>
      </w:r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br/>
        <w:t xml:space="preserve">-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Legea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nr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. 25-XVI din 22.02.2008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privind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Codul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de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conduită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a </w:t>
      </w:r>
      <w:proofErr w:type="spellStart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>funcţionarului</w:t>
      </w:r>
      <w:proofErr w:type="spellEnd"/>
      <w:r w:rsidRPr="00F2178F">
        <w:rPr>
          <w:rFonts w:ascii="Times New Roman" w:eastAsia="Times New Roman" w:hAnsi="Times New Roman" w:cs="Times New Roman"/>
          <w:color w:val="393F4C"/>
          <w:sz w:val="26"/>
          <w:szCs w:val="26"/>
          <w:lang w:val="en-US" w:eastAsia="ru-RU"/>
        </w:rPr>
        <w:t xml:space="preserve"> public;</w:t>
      </w:r>
    </w:p>
    <w:p w:rsidR="00FD17BD" w:rsidRPr="00F2178F" w:rsidRDefault="00FD17BD" w:rsidP="00F2178F">
      <w:pPr>
        <w:rPr>
          <w:rFonts w:ascii="Times New Roman" w:hAnsi="Times New Roman" w:cs="Times New Roman"/>
          <w:sz w:val="26"/>
          <w:szCs w:val="26"/>
        </w:rPr>
      </w:pPr>
    </w:p>
    <w:sectPr w:rsidR="00FD17BD" w:rsidRPr="00F2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D1C78"/>
    <w:multiLevelType w:val="hybridMultilevel"/>
    <w:tmpl w:val="A4FA8648"/>
    <w:lvl w:ilvl="0" w:tplc="A640925E">
      <w:start w:val="1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50"/>
    <w:rsid w:val="006649B4"/>
    <w:rsid w:val="00A14750"/>
    <w:rsid w:val="00F2178F"/>
    <w:rsid w:val="00FD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B0774-8B81-400C-95FD-A06D4D0D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o-RO"/>
    </w:rPr>
  </w:style>
  <w:style w:type="paragraph" w:styleId="1">
    <w:name w:val="heading 1"/>
    <w:basedOn w:val="a"/>
    <w:link w:val="10"/>
    <w:uiPriority w:val="9"/>
    <w:qFormat/>
    <w:rsid w:val="00664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6649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6649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49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9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49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49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00">
    <w:name w:val="a0"/>
    <w:basedOn w:val="a0"/>
    <w:rsid w:val="006649B4"/>
  </w:style>
  <w:style w:type="character" w:customStyle="1" w:styleId="docbody">
    <w:name w:val="docbody"/>
    <w:basedOn w:val="a0"/>
    <w:rsid w:val="006649B4"/>
  </w:style>
  <w:style w:type="paragraph" w:customStyle="1" w:styleId="style8">
    <w:name w:val="style8"/>
    <w:basedOn w:val="a"/>
    <w:rsid w:val="0066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649B4"/>
  </w:style>
  <w:style w:type="paragraph" w:styleId="a3">
    <w:name w:val="Body Text Indent"/>
    <w:basedOn w:val="a"/>
    <w:link w:val="a4"/>
    <w:uiPriority w:val="99"/>
    <w:semiHidden/>
    <w:unhideWhenUsed/>
    <w:rsid w:val="0066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649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649B4"/>
    <w:rPr>
      <w:rFonts w:asciiTheme="majorHAnsi" w:eastAsiaTheme="majorEastAsia" w:hAnsiTheme="majorHAnsi" w:cstheme="majorBidi"/>
      <w:i/>
      <w:iCs/>
      <w:color w:val="2E74B5" w:themeColor="accent1" w:themeShade="BF"/>
      <w:lang w:val="ro-RO"/>
    </w:rPr>
  </w:style>
  <w:style w:type="character" w:styleId="a5">
    <w:name w:val="Emphasis"/>
    <w:basedOn w:val="a0"/>
    <w:uiPriority w:val="20"/>
    <w:qFormat/>
    <w:rsid w:val="006649B4"/>
    <w:rPr>
      <w:i/>
      <w:iCs/>
    </w:rPr>
  </w:style>
  <w:style w:type="paragraph" w:customStyle="1" w:styleId="200">
    <w:name w:val="20"/>
    <w:basedOn w:val="a"/>
    <w:rsid w:val="0066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21"/>
    <w:basedOn w:val="a0"/>
    <w:rsid w:val="006649B4"/>
  </w:style>
  <w:style w:type="character" w:customStyle="1" w:styleId="fontstyle62">
    <w:name w:val="fontstyle62"/>
    <w:basedOn w:val="a0"/>
    <w:rsid w:val="006649B4"/>
  </w:style>
  <w:style w:type="paragraph" w:styleId="a6">
    <w:name w:val="List Paragraph"/>
    <w:basedOn w:val="a"/>
    <w:uiPriority w:val="34"/>
    <w:qFormat/>
    <w:rsid w:val="006649B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o-RO"/>
    </w:rPr>
  </w:style>
  <w:style w:type="paragraph" w:styleId="a7">
    <w:name w:val="Body Text"/>
    <w:basedOn w:val="a"/>
    <w:link w:val="a8"/>
    <w:uiPriority w:val="99"/>
    <w:semiHidden/>
    <w:unhideWhenUsed/>
    <w:rsid w:val="006649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49B4"/>
    <w:rPr>
      <w:lang w:val="ro-RO"/>
    </w:rPr>
  </w:style>
  <w:style w:type="character" w:customStyle="1" w:styleId="fontstyle12">
    <w:name w:val="fontstyle12"/>
    <w:basedOn w:val="a0"/>
    <w:rsid w:val="006649B4"/>
  </w:style>
  <w:style w:type="character" w:customStyle="1" w:styleId="fontstyle11">
    <w:name w:val="fontstyle11"/>
    <w:basedOn w:val="a0"/>
    <w:rsid w:val="006649B4"/>
  </w:style>
  <w:style w:type="paragraph" w:customStyle="1" w:styleId="style2">
    <w:name w:val="style2"/>
    <w:basedOn w:val="a"/>
    <w:rsid w:val="0066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66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66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acterstyle1">
    <w:name w:val="characterstyle1"/>
    <w:basedOn w:val="a0"/>
    <w:rsid w:val="006649B4"/>
  </w:style>
  <w:style w:type="character" w:styleId="aa">
    <w:name w:val="Strong"/>
    <w:basedOn w:val="a0"/>
    <w:uiPriority w:val="22"/>
    <w:qFormat/>
    <w:rsid w:val="00F2178F"/>
    <w:rPr>
      <w:b/>
      <w:bCs/>
    </w:rPr>
  </w:style>
  <w:style w:type="character" w:styleId="ab">
    <w:name w:val="Hyperlink"/>
    <w:basedOn w:val="a0"/>
    <w:uiPriority w:val="99"/>
    <w:semiHidden/>
    <w:unhideWhenUsed/>
    <w:rsid w:val="00F21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stice.gov.md/libview.php?l=ro&amp;idc=356&amp;id=3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b@justice.md" TargetMode="External"/><Relationship Id="rId5" Type="http://schemas.openxmlformats.org/officeDocument/2006/relationships/hyperlink" Target="http://www.justice.gov.md/libview.php?l=ro&amp;idc=356&amp;id=3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2019-08-28T09:12:00Z</dcterms:created>
  <dcterms:modified xsi:type="dcterms:W3CDTF">2019-08-28T09:12:00Z</dcterms:modified>
</cp:coreProperties>
</file>